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 xml:space="preserve">出山·圆梦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西晋末年始，客家先祖们为了躲避战乱，从中原开始迁徙，来此开辟新家园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当时的群山成为了我们最好的庇护。1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934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年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红军主力军开始战略转移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许多闽西籍子弟兵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利用群山的屏障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在此与敌军展开艰苦卓绝的游击战争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。但到了和平年代，大山却掣肘着发展的步伐，人们总是望着那绵延的山，山外面是什么？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560" w:firstLineChars="200"/>
        <w:jc w:val="center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【客家山歌+大山航拍 出标题字幕】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72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或许，我们可以先从另一个视角了解这里……（卫星地图特效）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72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将视线放在闽、粤、赣三省交界处，这里地处武夷山脉南西端，境内群山重叠，溪流密布，历史上与外界长期交流受阻，曾被称作“福建西伯利亚”、“铁路末梢”，这里就是——武平。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72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“世上最怕走山路，一步一步难得到，真的是太难，太难了……”（老村民们采访+旧照片）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72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要穿越群山的“束缚”，让老区人民致富，唯有修路。近年来，随着古武、永武等高速建成，武平逐步“走出去”“引进来”，但境内一直未有铁路交通。直至2017年，一条全长260多公里，造价400多亿的龙龙高铁（福建龙岩-广东龙川）完成可研审查。武平人民终迎来“高铁时代”，结束无铁路的历史空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【撼天地 聚民心】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72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一条铁路的建设，不仅在于天地，还在于“人心”。2019年9月，闽西老区人民盼望已久的龙龙高铁开工了，高铁沿线、设站村——武平县十方镇鲜水村再一次“热闹”起来。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72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“这里是我们祖祖辈别生长的地方，根在这里，我不想搬走。”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72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我们也就这点田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这间房屋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不懂怎么办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。”（村民同期声）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72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同年10月，武平县开展“百日攻坚”大会战，拉开了龙龙高铁的征迁序幕。面对涉及林地、坟墓、住宅等1700多亩的总征地任务，征迁工作组走遍了高铁沿线的每个角落，他们要面对的不是一个人，而是一群人。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left="0" w:right="0" w:firstLine="560" w:firstLineChars="200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“高铁建设，其实是利在千秋的，我们最主要的是要跟老百姓多沟通交流，走进他们的心里，如果他们有任何的不解、困惑，我们都要拿出耐心。曾经我们入单户最高次数有15次左右，当征迁的村民能够理解支持，并且跟我们一样，对铁路的通车感觉到很幸福，很欣慰，那我们这个工作就没有白做。”（十方镇征迁办干部刘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left="0" w:right="0" w:firstLine="560" w:firstLineChars="200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“今天我们站在武平特大桥这边，有种很有成就感的感觉，以前我们从彭寨跟上杭交界的山上，沿着这个铁路线一直爬，爬到我们的火车站站场出口，全身都是被（荆棘）刺，全身都一身汗那种感觉，现在想起来我们做的一切都非常值得。”（十方征迁办主任 熊文华）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72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当大型机械开始在山间轰鸣，隧道开始爆破，一座座桥墩拔地而起，人们终于看见“奔跑的山”，但此时工程进展也到了较为艰难的部分。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72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【向前看 往前走】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高铁武平特大桥全长1909米，共57个墩台。由于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桩基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地下均属于岩溶发育地区，溶洞地貌导致部分桥墩底桩浇筑下去的填充物外溢流出，根本无法完成浇筑填充，这无疑增加了施工的难度。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眼前这根18号墩可以说是所有桥墩中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尤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为特殊的一墩了。在施工过程中发现，原本勘探设计的桩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长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为50-60米深，可下面还有30多米深的溶洞，这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需要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100米的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桩长的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底桩才行，这是施工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CN" w:bidi="ar-SA"/>
        </w:rPr>
        <w:t>20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多年都难以遇见的景象。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为了解决这一难题，施工人员们重新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钻探补勘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优化设计方案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将原本8根底桩增加为20根，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减少桩基强度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增加受力面积和摩擦力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避开深溶洞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2023年1月30日19时，随着最后一片预制箱梁精准架设到位，武平特大桥终于成功合龙。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一条道路的通车、一条铁路的架设从来都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不简单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那是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所有人的“心血之路”……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或许，你会问，为什么我们要花如此大的心血在山区修这样一条铁路？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那么，我们把时间拨回从前，上世纪，人们仅靠着简单的铁锤、风枪、翻斗车跨越一条条河流，凿通一座座高山，以血肉之躯，艰难的铸就了千万条道路。当鸣笛声回荡在山谷，想要问一问曾经和现在的人们，为什么要改造山川？为什么要历尽艰险？为什么窗外良田连绵？为什么我们拥有如此广袤的国土？又为什么中华民族能够屹立于世界之巅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老区不老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风华正茂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如今的武平，正已崭新的面貌呈现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武平林改”金字招牌越擦越亮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绿水青山成为金山银山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新显产业集聚发展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智显新城”加快打造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城市乡村美美与共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主客共享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·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Hans" w:bidi="ar-SA"/>
        </w:rPr>
        <w:t>舒适温暖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为人民创造更加幸福的美好生活</w:t>
      </w:r>
      <w:r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eastAsia="zh-Hans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离开大山的路总是一年年变好走，每一个奔跑向自己梦想的人，都在一起努力着，让山里变成山外，我们坚信每一个人都将改变命运，每一处都能传来歌声……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“我是武平人，我讲客家话，还小割禾捉泥鳅，你有没有放过牛？我是武平人，三年没回去，出门打工做生意，今年一定要回去，武平的老乡不容易……”（歌曲《我是武平人》结尾）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72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72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6"/>
          <w:szCs w:val="36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ind w:firstLine="72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6"/>
          <w:szCs w:val="36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atLeast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6"/>
          <w:szCs w:val="36"/>
          <w:highlight w:val="none"/>
          <w:u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654F040C-FDF8-4CD4-9B14-82AA43F9139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89F7F249-FBFF-4F1E-94B9-B6C28439887A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OTUyYzIwY2Q5ODJjNzQ3ZTg3NTU1NzBkNjExODEifQ=="/>
  </w:docVars>
  <w:rsids>
    <w:rsidRoot w:val="00000000"/>
    <w:rsid w:val="005574FC"/>
    <w:rsid w:val="009E0D18"/>
    <w:rsid w:val="02D07464"/>
    <w:rsid w:val="02DA4630"/>
    <w:rsid w:val="063E0174"/>
    <w:rsid w:val="06D27E80"/>
    <w:rsid w:val="07EC147E"/>
    <w:rsid w:val="0B15276E"/>
    <w:rsid w:val="0B293A5F"/>
    <w:rsid w:val="0F220EF1"/>
    <w:rsid w:val="0F5B4403"/>
    <w:rsid w:val="10466E61"/>
    <w:rsid w:val="12577104"/>
    <w:rsid w:val="1BC3580A"/>
    <w:rsid w:val="1BDE0896"/>
    <w:rsid w:val="1C3E1334"/>
    <w:rsid w:val="1C5841A4"/>
    <w:rsid w:val="1CCC6940"/>
    <w:rsid w:val="20971013"/>
    <w:rsid w:val="211D776A"/>
    <w:rsid w:val="23B428FE"/>
    <w:rsid w:val="25B82157"/>
    <w:rsid w:val="296608E5"/>
    <w:rsid w:val="29975FFE"/>
    <w:rsid w:val="2A2B3AE1"/>
    <w:rsid w:val="2AD31C24"/>
    <w:rsid w:val="2C471B3F"/>
    <w:rsid w:val="2D855015"/>
    <w:rsid w:val="2DEE172B"/>
    <w:rsid w:val="2E6E244C"/>
    <w:rsid w:val="2EEB534C"/>
    <w:rsid w:val="363E2205"/>
    <w:rsid w:val="3676199F"/>
    <w:rsid w:val="37052D23"/>
    <w:rsid w:val="39162FC5"/>
    <w:rsid w:val="39324878"/>
    <w:rsid w:val="3A287454"/>
    <w:rsid w:val="3B00217F"/>
    <w:rsid w:val="3BF75330"/>
    <w:rsid w:val="3BFFB2AF"/>
    <w:rsid w:val="3EE01BB7"/>
    <w:rsid w:val="3F67457A"/>
    <w:rsid w:val="404623E2"/>
    <w:rsid w:val="431C38CE"/>
    <w:rsid w:val="43E63D5E"/>
    <w:rsid w:val="43FF654C"/>
    <w:rsid w:val="44CB55AC"/>
    <w:rsid w:val="45924862"/>
    <w:rsid w:val="477A0BC3"/>
    <w:rsid w:val="4800731A"/>
    <w:rsid w:val="488717E9"/>
    <w:rsid w:val="4AE75720"/>
    <w:rsid w:val="4D924B60"/>
    <w:rsid w:val="509176A9"/>
    <w:rsid w:val="50A5563B"/>
    <w:rsid w:val="51CB489B"/>
    <w:rsid w:val="536C7519"/>
    <w:rsid w:val="554747DA"/>
    <w:rsid w:val="55F36710"/>
    <w:rsid w:val="56C500AD"/>
    <w:rsid w:val="56FD461C"/>
    <w:rsid w:val="58E80082"/>
    <w:rsid w:val="5C2313D1"/>
    <w:rsid w:val="5C904CB9"/>
    <w:rsid w:val="5D024147"/>
    <w:rsid w:val="5FEE6BF3"/>
    <w:rsid w:val="625146EB"/>
    <w:rsid w:val="65240694"/>
    <w:rsid w:val="66482160"/>
    <w:rsid w:val="69F51DBD"/>
    <w:rsid w:val="6CB744E6"/>
    <w:rsid w:val="6DBB6F4E"/>
    <w:rsid w:val="6F49551F"/>
    <w:rsid w:val="70D80585"/>
    <w:rsid w:val="74A0585D"/>
    <w:rsid w:val="74BB1F12"/>
    <w:rsid w:val="77E617D9"/>
    <w:rsid w:val="783B5319"/>
    <w:rsid w:val="785B4326"/>
    <w:rsid w:val="78EC72C3"/>
    <w:rsid w:val="7C3C40BE"/>
    <w:rsid w:val="7CB41EA6"/>
    <w:rsid w:val="7E6FFBB1"/>
    <w:rsid w:val="7EC87E8B"/>
    <w:rsid w:val="7EED37EF"/>
    <w:rsid w:val="AAEF248D"/>
    <w:rsid w:val="EEEF90E9"/>
    <w:rsid w:val="FD9DA78E"/>
    <w:rsid w:val="FEE9182E"/>
    <w:rsid w:val="FF6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kern w:val="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晨曦、</cp:lastModifiedBy>
  <dcterms:modified xsi:type="dcterms:W3CDTF">2024-02-05T01:58:34Z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C28B75BC32924E83947E8A8D4CD77E1D_13</vt:lpwstr>
  </property>
</Properties>
</file>